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A97D41">
        <w:rPr>
          <w:b/>
        </w:rPr>
        <w:t>4201</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714EA" w:rsidRPr="001714EA" w:rsidRDefault="001714EA" w:rsidP="001714EA">
      <w:pPr>
        <w:pStyle w:val="ListParagraph"/>
        <w:rPr>
          <w:szCs w:val="20"/>
        </w:rPr>
      </w:pPr>
    </w:p>
    <w:p w:rsidR="001714EA" w:rsidRPr="001714EA" w:rsidRDefault="001714EA" w:rsidP="001714EA">
      <w:pPr>
        <w:jc w:val="both"/>
        <w:rPr>
          <w:szCs w:val="20"/>
        </w:rPr>
      </w:pPr>
      <w:r>
        <w:rPr>
          <w:b/>
          <w:sz w:val="22"/>
          <w:szCs w:val="22"/>
        </w:rPr>
        <w:t xml:space="preserve">SPECIAL SYLLABUS:  </w:t>
      </w:r>
      <w:r>
        <w:rPr>
          <w:szCs w:val="20"/>
        </w:rPr>
        <w:t xml:space="preserve">I4201:  Coupled approach demo.  IP demo SSE approach and SSE missed approach.  </w:t>
      </w:r>
    </w:p>
    <w:p w:rsidR="00190123" w:rsidRDefault="00190123" w:rsidP="00354052">
      <w:pPr>
        <w:jc w:val="both"/>
        <w:rPr>
          <w:szCs w:val="20"/>
        </w:rPr>
      </w:pPr>
    </w:p>
    <w:p w:rsidR="000C3FE3" w:rsidRDefault="00467FD3" w:rsidP="00A97D41">
      <w:pPr>
        <w:jc w:val="both"/>
        <w:rPr>
          <w:szCs w:val="20"/>
        </w:rPr>
      </w:pPr>
      <w:r w:rsidRPr="00B74E75">
        <w:rPr>
          <w:b/>
          <w:sz w:val="22"/>
          <w:szCs w:val="22"/>
        </w:rPr>
        <w:t>DISCUSS ITEMS:</w:t>
      </w:r>
      <w:r>
        <w:rPr>
          <w:szCs w:val="20"/>
        </w:rPr>
        <w:t xml:space="preserve"> </w:t>
      </w:r>
      <w:r w:rsidR="00184924">
        <w:rPr>
          <w:szCs w:val="20"/>
        </w:rPr>
        <w:t xml:space="preserve">SSE Approach Configuration Procedures, SSE Circling Approach/Missed Approach, Emergency Voice Reports, and Partial Panel/ESIS (T-44C) Approach.  </w:t>
      </w:r>
    </w:p>
    <w:p w:rsidR="003D0B4D" w:rsidRDefault="003D0B4D" w:rsidP="00A97D41">
      <w:pPr>
        <w:jc w:val="both"/>
        <w:rPr>
          <w:szCs w:val="20"/>
        </w:rPr>
      </w:pPr>
    </w:p>
    <w:p w:rsidR="009B217F" w:rsidRDefault="009B217F" w:rsidP="009B217F">
      <w:pPr>
        <w:ind w:firstLine="360"/>
        <w:jc w:val="both"/>
        <w:rPr>
          <w:b/>
          <w:szCs w:val="20"/>
        </w:rPr>
      </w:pPr>
      <w:r w:rsidRPr="009B217F">
        <w:rPr>
          <w:b/>
          <w:szCs w:val="20"/>
        </w:rPr>
        <w:t xml:space="preserve">SSE Approach Configuration Procedures </w:t>
      </w:r>
      <w:r>
        <w:rPr>
          <w:b/>
          <w:szCs w:val="20"/>
        </w:rPr>
        <w:t>–</w:t>
      </w:r>
      <w:r w:rsidRPr="009B217F">
        <w:rPr>
          <w:b/>
          <w:szCs w:val="20"/>
        </w:rPr>
        <w:t xml:space="preserve"> </w:t>
      </w:r>
    </w:p>
    <w:p w:rsidR="009B217F" w:rsidRDefault="009B217F" w:rsidP="00A97D41">
      <w:pPr>
        <w:jc w:val="both"/>
        <w:rPr>
          <w:b/>
          <w:szCs w:val="20"/>
        </w:rPr>
      </w:pPr>
    </w:p>
    <w:p w:rsidR="009B217F" w:rsidRDefault="009B217F" w:rsidP="009B217F">
      <w:pPr>
        <w:jc w:val="both"/>
        <w:rPr>
          <w:szCs w:val="20"/>
        </w:rPr>
      </w:pPr>
      <w:r>
        <w:rPr>
          <w:szCs w:val="20"/>
        </w:rPr>
        <w:t xml:space="preserve"> </w:t>
      </w:r>
      <w:r>
        <w:rPr>
          <w:szCs w:val="20"/>
        </w:rPr>
        <w:tab/>
        <w:t xml:space="preserve">As a general rule, if you can’t maintain glideslope or appropriate altitudes, clean up and configure later.  </w:t>
      </w:r>
    </w:p>
    <w:p w:rsidR="009B217F" w:rsidRDefault="009B217F" w:rsidP="00A97D41">
      <w:pPr>
        <w:jc w:val="both"/>
        <w:rPr>
          <w:szCs w:val="20"/>
        </w:rPr>
      </w:pPr>
    </w:p>
    <w:tbl>
      <w:tblPr>
        <w:tblStyle w:val="TableGrid"/>
        <w:tblW w:w="10188" w:type="dxa"/>
        <w:tblLook w:val="04A0"/>
      </w:tblPr>
      <w:tblGrid>
        <w:gridCol w:w="2077"/>
        <w:gridCol w:w="1697"/>
        <w:gridCol w:w="1697"/>
        <w:gridCol w:w="1684"/>
        <w:gridCol w:w="3033"/>
      </w:tblGrid>
      <w:tr w:rsidR="009B217F" w:rsidTr="009B217F">
        <w:tc>
          <w:tcPr>
            <w:tcW w:w="2077" w:type="dxa"/>
          </w:tcPr>
          <w:p w:rsidR="009B217F" w:rsidRDefault="009B217F" w:rsidP="00A67F27">
            <w:pPr>
              <w:jc w:val="both"/>
              <w:rPr>
                <w:b/>
                <w:szCs w:val="20"/>
              </w:rPr>
            </w:pPr>
          </w:p>
        </w:tc>
        <w:tc>
          <w:tcPr>
            <w:tcW w:w="1697" w:type="dxa"/>
          </w:tcPr>
          <w:p w:rsidR="009B217F" w:rsidRDefault="009B217F" w:rsidP="00A67F27">
            <w:pPr>
              <w:jc w:val="both"/>
              <w:rPr>
                <w:b/>
                <w:szCs w:val="20"/>
              </w:rPr>
            </w:pPr>
            <w:r>
              <w:rPr>
                <w:b/>
                <w:szCs w:val="20"/>
              </w:rPr>
              <w:t>Precision</w:t>
            </w:r>
          </w:p>
        </w:tc>
        <w:tc>
          <w:tcPr>
            <w:tcW w:w="1697" w:type="dxa"/>
          </w:tcPr>
          <w:p w:rsidR="009B217F" w:rsidRDefault="009B217F" w:rsidP="00A67F27">
            <w:pPr>
              <w:jc w:val="both"/>
              <w:rPr>
                <w:b/>
                <w:szCs w:val="20"/>
              </w:rPr>
            </w:pPr>
            <w:r>
              <w:rPr>
                <w:b/>
                <w:szCs w:val="20"/>
              </w:rPr>
              <w:t>Non-Precision</w:t>
            </w:r>
          </w:p>
        </w:tc>
        <w:tc>
          <w:tcPr>
            <w:tcW w:w="1684" w:type="dxa"/>
          </w:tcPr>
          <w:p w:rsidR="009B217F" w:rsidRDefault="009B217F" w:rsidP="00A67F27">
            <w:pPr>
              <w:jc w:val="both"/>
              <w:rPr>
                <w:b/>
                <w:szCs w:val="20"/>
              </w:rPr>
            </w:pPr>
            <w:r>
              <w:rPr>
                <w:b/>
                <w:szCs w:val="20"/>
              </w:rPr>
              <w:t>Radar PAR</w:t>
            </w:r>
          </w:p>
        </w:tc>
        <w:tc>
          <w:tcPr>
            <w:tcW w:w="3033" w:type="dxa"/>
          </w:tcPr>
          <w:p w:rsidR="009B217F" w:rsidRDefault="009B217F" w:rsidP="00A67F27">
            <w:pPr>
              <w:jc w:val="both"/>
              <w:rPr>
                <w:b/>
                <w:szCs w:val="20"/>
              </w:rPr>
            </w:pPr>
            <w:r>
              <w:rPr>
                <w:b/>
                <w:szCs w:val="20"/>
              </w:rPr>
              <w:t>Radar ASR</w:t>
            </w:r>
          </w:p>
        </w:tc>
      </w:tr>
      <w:tr w:rsidR="009B217F" w:rsidTr="009B217F">
        <w:trPr>
          <w:trHeight w:val="440"/>
        </w:trPr>
        <w:tc>
          <w:tcPr>
            <w:tcW w:w="2077" w:type="dxa"/>
          </w:tcPr>
          <w:p w:rsidR="009B217F" w:rsidRPr="00431E91" w:rsidRDefault="009B217F" w:rsidP="009B217F">
            <w:pPr>
              <w:jc w:val="both"/>
              <w:rPr>
                <w:b/>
                <w:szCs w:val="20"/>
              </w:rPr>
            </w:pPr>
            <w:r>
              <w:rPr>
                <w:b/>
                <w:szCs w:val="20"/>
              </w:rPr>
              <w:t>NORMAL</w:t>
            </w:r>
          </w:p>
        </w:tc>
        <w:tc>
          <w:tcPr>
            <w:tcW w:w="1697" w:type="dxa"/>
          </w:tcPr>
          <w:p w:rsidR="009B217F" w:rsidRPr="00431E91" w:rsidRDefault="009B217F" w:rsidP="00A67F27">
            <w:pPr>
              <w:rPr>
                <w:szCs w:val="20"/>
              </w:rPr>
            </w:pPr>
            <w:r w:rsidRPr="00431E91">
              <w:rPr>
                <w:szCs w:val="20"/>
              </w:rPr>
              <w:t>1 ½ dots below GS at GS intercept altitude or 3 NM prior to FAF</w:t>
            </w:r>
          </w:p>
        </w:tc>
        <w:tc>
          <w:tcPr>
            <w:tcW w:w="1697" w:type="dxa"/>
          </w:tcPr>
          <w:p w:rsidR="009B217F" w:rsidRPr="00431E91" w:rsidRDefault="009B217F" w:rsidP="00A67F27">
            <w:pPr>
              <w:rPr>
                <w:szCs w:val="20"/>
              </w:rPr>
            </w:pPr>
            <w:r>
              <w:rPr>
                <w:szCs w:val="20"/>
              </w:rPr>
              <w:t>3 NM prior to FAF</w:t>
            </w:r>
          </w:p>
        </w:tc>
        <w:tc>
          <w:tcPr>
            <w:tcW w:w="1684" w:type="dxa"/>
          </w:tcPr>
          <w:p w:rsidR="009B217F" w:rsidRPr="00431E91" w:rsidRDefault="009B217F" w:rsidP="00A67F27">
            <w:pPr>
              <w:rPr>
                <w:szCs w:val="20"/>
              </w:rPr>
            </w:pPr>
            <w:r>
              <w:rPr>
                <w:szCs w:val="20"/>
              </w:rPr>
              <w:t>Base or Dog-leg to Final</w:t>
            </w:r>
          </w:p>
        </w:tc>
        <w:tc>
          <w:tcPr>
            <w:tcW w:w="3033" w:type="dxa"/>
          </w:tcPr>
          <w:p w:rsidR="009B217F" w:rsidRPr="00431E91" w:rsidRDefault="009B217F" w:rsidP="00A67F27">
            <w:pPr>
              <w:rPr>
                <w:szCs w:val="20"/>
              </w:rPr>
            </w:pPr>
            <w:r>
              <w:rPr>
                <w:szCs w:val="20"/>
              </w:rPr>
              <w:t>Base or Dog-leg to Final</w:t>
            </w:r>
          </w:p>
        </w:tc>
      </w:tr>
      <w:tr w:rsidR="009B217F" w:rsidTr="009B217F">
        <w:trPr>
          <w:trHeight w:val="440"/>
        </w:trPr>
        <w:tc>
          <w:tcPr>
            <w:tcW w:w="2077" w:type="dxa"/>
          </w:tcPr>
          <w:p w:rsidR="009B217F" w:rsidRDefault="009B217F" w:rsidP="00A67F27">
            <w:pPr>
              <w:jc w:val="both"/>
              <w:rPr>
                <w:b/>
                <w:szCs w:val="20"/>
              </w:rPr>
            </w:pPr>
            <w:r>
              <w:rPr>
                <w:b/>
                <w:szCs w:val="20"/>
              </w:rPr>
              <w:t>EMERGENCY (SSE)</w:t>
            </w:r>
          </w:p>
        </w:tc>
        <w:tc>
          <w:tcPr>
            <w:tcW w:w="1697" w:type="dxa"/>
          </w:tcPr>
          <w:p w:rsidR="009B217F" w:rsidRPr="00431E91" w:rsidRDefault="009B217F" w:rsidP="00A67F27">
            <w:pPr>
              <w:rPr>
                <w:szCs w:val="20"/>
              </w:rPr>
            </w:pPr>
            <w:r>
              <w:rPr>
                <w:szCs w:val="20"/>
              </w:rPr>
              <w:t>½ dot below GS at GS intercept alt.</w:t>
            </w:r>
          </w:p>
        </w:tc>
        <w:tc>
          <w:tcPr>
            <w:tcW w:w="1697" w:type="dxa"/>
          </w:tcPr>
          <w:p w:rsidR="009B217F" w:rsidRPr="00431E91" w:rsidRDefault="009B217F" w:rsidP="009B217F">
            <w:pPr>
              <w:rPr>
                <w:szCs w:val="20"/>
              </w:rPr>
            </w:pPr>
            <w:r>
              <w:rPr>
                <w:szCs w:val="20"/>
              </w:rPr>
              <w:t>Runway in sight, In safe position to land</w:t>
            </w:r>
          </w:p>
        </w:tc>
        <w:tc>
          <w:tcPr>
            <w:tcW w:w="1684" w:type="dxa"/>
          </w:tcPr>
          <w:p w:rsidR="009B217F" w:rsidRPr="00431E91" w:rsidRDefault="009B217F" w:rsidP="00A67F27">
            <w:pPr>
              <w:rPr>
                <w:szCs w:val="20"/>
              </w:rPr>
            </w:pPr>
            <w:r>
              <w:rPr>
                <w:szCs w:val="20"/>
              </w:rPr>
              <w:t>10 Sec gear warning</w:t>
            </w:r>
          </w:p>
        </w:tc>
        <w:tc>
          <w:tcPr>
            <w:tcW w:w="3033" w:type="dxa"/>
          </w:tcPr>
          <w:p w:rsidR="009B217F" w:rsidRDefault="009B217F" w:rsidP="00A67F27">
            <w:pPr>
              <w:numPr>
                <w:ilvl w:val="0"/>
                <w:numId w:val="5"/>
              </w:numPr>
              <w:rPr>
                <w:szCs w:val="20"/>
              </w:rPr>
            </w:pPr>
            <w:r>
              <w:rPr>
                <w:szCs w:val="20"/>
              </w:rPr>
              <w:t>10 sec gear warning</w:t>
            </w:r>
          </w:p>
          <w:p w:rsidR="009B217F" w:rsidRPr="00431E91" w:rsidRDefault="009B217F" w:rsidP="00A67F27">
            <w:pPr>
              <w:numPr>
                <w:ilvl w:val="0"/>
                <w:numId w:val="5"/>
              </w:numPr>
              <w:rPr>
                <w:szCs w:val="20"/>
              </w:rPr>
            </w:pPr>
            <w:r>
              <w:rPr>
                <w:szCs w:val="20"/>
              </w:rPr>
              <w:t>Safe position to land</w:t>
            </w:r>
          </w:p>
        </w:tc>
      </w:tr>
    </w:tbl>
    <w:p w:rsidR="003D0B4D" w:rsidRDefault="003D0B4D" w:rsidP="00A97D41">
      <w:pPr>
        <w:jc w:val="both"/>
        <w:rPr>
          <w:b/>
          <w:szCs w:val="20"/>
        </w:rPr>
      </w:pPr>
    </w:p>
    <w:p w:rsidR="00A97D41" w:rsidRPr="009B217F" w:rsidRDefault="009B217F" w:rsidP="009B217F">
      <w:pPr>
        <w:ind w:left="360"/>
        <w:jc w:val="both"/>
        <w:rPr>
          <w:b/>
          <w:szCs w:val="20"/>
        </w:rPr>
      </w:pPr>
      <w:r w:rsidRPr="009B217F">
        <w:rPr>
          <w:b/>
          <w:szCs w:val="20"/>
        </w:rPr>
        <w:t xml:space="preserve">SSE Circling Approach/Missed Approach - </w:t>
      </w:r>
    </w:p>
    <w:p w:rsidR="00A97D41" w:rsidRPr="000C3FE3" w:rsidRDefault="00A97D41" w:rsidP="00AE7420">
      <w:pPr>
        <w:ind w:left="360"/>
        <w:jc w:val="both"/>
        <w:rPr>
          <w:b/>
          <w:szCs w:val="20"/>
        </w:rPr>
      </w:pPr>
    </w:p>
    <w:p w:rsidR="009B217F" w:rsidRPr="009B217F" w:rsidRDefault="009B217F" w:rsidP="009B217F">
      <w:pPr>
        <w:ind w:left="540" w:hanging="540"/>
        <w:rPr>
          <w:szCs w:val="20"/>
        </w:rPr>
      </w:pPr>
      <w:r>
        <w:rPr>
          <w:szCs w:val="20"/>
        </w:rPr>
        <w:tab/>
      </w:r>
      <w:r>
        <w:rPr>
          <w:szCs w:val="20"/>
        </w:rPr>
        <w:tab/>
      </w:r>
      <w:r>
        <w:rPr>
          <w:szCs w:val="20"/>
        </w:rPr>
        <w:tab/>
      </w:r>
      <w:r w:rsidRPr="009B217F">
        <w:rPr>
          <w:szCs w:val="20"/>
        </w:rPr>
        <w:t xml:space="preserve">Circling approaches: </w:t>
      </w:r>
    </w:p>
    <w:p w:rsidR="009B217F" w:rsidRPr="005F5211" w:rsidRDefault="009B217F" w:rsidP="009B217F">
      <w:pPr>
        <w:ind w:left="1260" w:firstLine="180"/>
        <w:rPr>
          <w:szCs w:val="20"/>
        </w:rPr>
      </w:pPr>
      <w:r>
        <w:rPr>
          <w:szCs w:val="20"/>
        </w:rPr>
        <w:t xml:space="preserve">Circling MDA gives you 300 ft. protection from obstacles in the protected area.  </w:t>
      </w:r>
    </w:p>
    <w:p w:rsidR="009B217F" w:rsidRPr="005F5211" w:rsidRDefault="009B217F" w:rsidP="009B217F">
      <w:pPr>
        <w:ind w:left="540" w:hanging="540"/>
        <w:rPr>
          <w:szCs w:val="20"/>
        </w:rPr>
      </w:pPr>
    </w:p>
    <w:p w:rsidR="009B217F" w:rsidRDefault="009B217F" w:rsidP="009B217F">
      <w:pPr>
        <w:ind w:left="1080" w:firstLine="360"/>
        <w:rPr>
          <w:b/>
          <w:szCs w:val="20"/>
        </w:rPr>
      </w:pPr>
    </w:p>
    <w:p w:rsidR="009B217F" w:rsidRDefault="009B217F" w:rsidP="009B217F">
      <w:pPr>
        <w:ind w:left="1080" w:firstLine="360"/>
        <w:rPr>
          <w:b/>
          <w:szCs w:val="20"/>
        </w:rPr>
      </w:pPr>
    </w:p>
    <w:p w:rsidR="009B217F" w:rsidRPr="009B217F" w:rsidRDefault="009B217F" w:rsidP="009B217F">
      <w:pPr>
        <w:ind w:left="1080" w:firstLine="360"/>
        <w:rPr>
          <w:szCs w:val="20"/>
        </w:rPr>
      </w:pPr>
      <w:r w:rsidRPr="009B217F">
        <w:rPr>
          <w:szCs w:val="20"/>
        </w:rPr>
        <w:t>Circling missed approach:</w:t>
      </w:r>
    </w:p>
    <w:p w:rsidR="009B217F" w:rsidRPr="00E42E02" w:rsidRDefault="009B217F" w:rsidP="009B217F">
      <w:pPr>
        <w:ind w:left="1080" w:firstLine="360"/>
        <w:rPr>
          <w:b/>
          <w:szCs w:val="20"/>
        </w:rPr>
      </w:pPr>
    </w:p>
    <w:p w:rsidR="009B217F" w:rsidRPr="005F5211" w:rsidRDefault="009B217F" w:rsidP="009B217F">
      <w:pPr>
        <w:ind w:left="1440"/>
        <w:rPr>
          <w:szCs w:val="20"/>
        </w:rPr>
      </w:pPr>
      <w:r w:rsidRPr="005F5211">
        <w:rPr>
          <w:szCs w:val="20"/>
        </w:rPr>
        <w:t xml:space="preserve">Climbing turn towards landing runway while remaining within the circling area.  Immediately followed by interception and execution of the missed approach procedure.  Comply with the intent of the missed approach procedure/instructions.  </w:t>
      </w:r>
    </w:p>
    <w:p w:rsidR="009B217F" w:rsidRPr="005F5211" w:rsidRDefault="009B217F" w:rsidP="009B217F">
      <w:pPr>
        <w:ind w:left="540" w:hanging="540"/>
        <w:rPr>
          <w:szCs w:val="20"/>
        </w:rPr>
      </w:pPr>
    </w:p>
    <w:p w:rsidR="009B217F" w:rsidRPr="009B217F" w:rsidRDefault="009B217F" w:rsidP="009B217F">
      <w:pPr>
        <w:ind w:left="1260" w:firstLine="180"/>
        <w:rPr>
          <w:szCs w:val="20"/>
        </w:rPr>
      </w:pPr>
      <w:r w:rsidRPr="009B217F">
        <w:rPr>
          <w:szCs w:val="20"/>
        </w:rPr>
        <w:t xml:space="preserve">FAA vs. ICAO procedures: </w:t>
      </w:r>
    </w:p>
    <w:p w:rsidR="009B217F" w:rsidRDefault="009B217F" w:rsidP="009B217F">
      <w:pPr>
        <w:ind w:left="540"/>
        <w:rPr>
          <w:rStyle w:val="apple-converted-space"/>
          <w:rFonts w:ascii="Verdana" w:hAnsi="Verdana"/>
          <w:color w:val="000000"/>
          <w:sz w:val="17"/>
          <w:szCs w:val="17"/>
        </w:rPr>
      </w:pPr>
    </w:p>
    <w:p w:rsidR="009B217F" w:rsidRPr="009F01A2" w:rsidRDefault="009B217F" w:rsidP="009B217F">
      <w:pPr>
        <w:ind w:left="1440"/>
        <w:rPr>
          <w:rStyle w:val="apple-converted-space"/>
          <w:color w:val="000000"/>
          <w:szCs w:val="20"/>
        </w:rPr>
      </w:pPr>
      <w:r w:rsidRPr="009F01A2">
        <w:rPr>
          <w:rStyle w:val="apple-style-span"/>
          <w:color w:val="000000"/>
          <w:szCs w:val="20"/>
        </w:rPr>
        <w:t>Circling Approach Obstacle Clearance Protected Area:</w:t>
      </w:r>
      <w:r w:rsidRPr="009F01A2">
        <w:rPr>
          <w:rStyle w:val="apple-converted-space"/>
          <w:color w:val="000000"/>
          <w:szCs w:val="20"/>
        </w:rPr>
        <w:t> </w:t>
      </w:r>
      <w:r w:rsidRPr="009F01A2">
        <w:rPr>
          <w:color w:val="000000"/>
          <w:szCs w:val="20"/>
        </w:rPr>
        <w:br/>
      </w:r>
      <w:r w:rsidRPr="009F01A2">
        <w:rPr>
          <w:rStyle w:val="apple-style-span"/>
          <w:color w:val="000000"/>
          <w:szCs w:val="20"/>
        </w:rPr>
        <w:t>FAA - The protected area is much smaller in the USA (</w:t>
      </w:r>
      <w:r>
        <w:rPr>
          <w:rStyle w:val="apple-style-span"/>
          <w:color w:val="000000"/>
          <w:szCs w:val="20"/>
        </w:rPr>
        <w:t xml:space="preserve">1.3 A, 1.5 B, </w:t>
      </w:r>
      <w:r w:rsidRPr="009F01A2">
        <w:rPr>
          <w:rStyle w:val="apple-style-span"/>
          <w:color w:val="000000"/>
          <w:szCs w:val="20"/>
        </w:rPr>
        <w:t>1.7 mile radius for approach category C and 2.3 mile radius for category D), this is well below ICAO requirements, and makes the circling approach even more difficult and dangerous.</w:t>
      </w:r>
      <w:r w:rsidRPr="009F01A2">
        <w:rPr>
          <w:rStyle w:val="apple-converted-space"/>
          <w:color w:val="000000"/>
          <w:szCs w:val="20"/>
        </w:rPr>
        <w:t> </w:t>
      </w:r>
      <w:r w:rsidRPr="009F01A2">
        <w:rPr>
          <w:color w:val="000000"/>
          <w:szCs w:val="20"/>
        </w:rPr>
        <w:br/>
      </w:r>
      <w:r w:rsidRPr="009F01A2">
        <w:rPr>
          <w:rStyle w:val="apple-style-span"/>
          <w:color w:val="000000"/>
          <w:szCs w:val="20"/>
        </w:rPr>
        <w:t>ICAO -Requires a much larger area. Circling area radius from threshold in ICAO (DOC 8168 OPS/ 611PANS-OPS-4, page 3-26): A: 1.68nm; B: 2.66nm; C: 4.20nm; D: 5.28nm; E: 6.94nm. The maximum speeds are A: 100KIAS; B: 135KIAS; C: 180KIAS; D:205KIAS; E: 240KIAS. The radius is the distance from the threshold used to determine the circling area.</w:t>
      </w:r>
      <w:r w:rsidRPr="009F01A2">
        <w:rPr>
          <w:rStyle w:val="apple-converted-space"/>
          <w:color w:val="000000"/>
          <w:szCs w:val="20"/>
        </w:rPr>
        <w:t> </w:t>
      </w:r>
    </w:p>
    <w:p w:rsidR="000C3FE3" w:rsidRDefault="000C3FE3" w:rsidP="00AE7420">
      <w:pPr>
        <w:ind w:left="360"/>
        <w:jc w:val="both"/>
        <w:rPr>
          <w:szCs w:val="20"/>
        </w:rPr>
      </w:pPr>
    </w:p>
    <w:p w:rsidR="009B217F" w:rsidRDefault="009B217F" w:rsidP="009B217F">
      <w:pPr>
        <w:ind w:left="360"/>
        <w:jc w:val="both"/>
        <w:rPr>
          <w:b/>
          <w:szCs w:val="20"/>
        </w:rPr>
      </w:pPr>
      <w:r w:rsidRPr="008D621B">
        <w:rPr>
          <w:b/>
          <w:szCs w:val="20"/>
        </w:rPr>
        <w:t xml:space="preserve">Emergency Voice Reports (souls/emergency/intentions) – </w:t>
      </w:r>
    </w:p>
    <w:p w:rsidR="009B217F" w:rsidRDefault="009B217F" w:rsidP="009B217F">
      <w:pPr>
        <w:ind w:left="360"/>
        <w:jc w:val="both"/>
        <w:rPr>
          <w:b/>
          <w:szCs w:val="20"/>
        </w:rPr>
      </w:pPr>
    </w:p>
    <w:p w:rsidR="009B217F" w:rsidRPr="000F42AA" w:rsidRDefault="009B217F" w:rsidP="009B217F">
      <w:pPr>
        <w:ind w:left="720"/>
        <w:jc w:val="both"/>
        <w:rPr>
          <w:szCs w:val="20"/>
        </w:rPr>
      </w:pPr>
      <w:r>
        <w:rPr>
          <w:szCs w:val="20"/>
        </w:rPr>
        <w:t xml:space="preserve">Don’t be afraid to tell the person inquiring to “standby”.  Nothing they want to know is worth sacrificing your aviating and navigating.  Be directive for what you need and what you are planning on doing.  Call fuel in minutes remaining.  Do quick math.  If you’re burning 250 pounds per hour per side and you have 1000 pounds per side… well that’s 4 hours of flight time.  Adjust for you having a transfer pump inop., etc.  </w:t>
      </w:r>
    </w:p>
    <w:p w:rsidR="009B217F" w:rsidRDefault="009B217F" w:rsidP="00AE7420">
      <w:pPr>
        <w:ind w:left="360"/>
        <w:jc w:val="both"/>
        <w:rPr>
          <w:szCs w:val="20"/>
        </w:rPr>
      </w:pPr>
    </w:p>
    <w:p w:rsidR="009B217F" w:rsidRDefault="00DA180A" w:rsidP="00AE7420">
      <w:pPr>
        <w:ind w:left="360"/>
        <w:jc w:val="both"/>
        <w:rPr>
          <w:b/>
          <w:szCs w:val="20"/>
        </w:rPr>
      </w:pPr>
      <w:r w:rsidRPr="00DA180A">
        <w:rPr>
          <w:b/>
          <w:szCs w:val="20"/>
        </w:rPr>
        <w:t xml:space="preserve">Partial Panel </w:t>
      </w:r>
      <w:r>
        <w:rPr>
          <w:b/>
          <w:szCs w:val="20"/>
        </w:rPr>
        <w:t>–</w:t>
      </w:r>
      <w:r w:rsidRPr="00DA180A">
        <w:rPr>
          <w:b/>
          <w:szCs w:val="20"/>
        </w:rPr>
        <w:t xml:space="preserve"> </w:t>
      </w:r>
    </w:p>
    <w:p w:rsidR="00DA180A" w:rsidRDefault="00DA180A" w:rsidP="00AE7420">
      <w:pPr>
        <w:ind w:left="360"/>
        <w:jc w:val="both"/>
        <w:rPr>
          <w:b/>
          <w:szCs w:val="20"/>
        </w:rPr>
      </w:pPr>
    </w:p>
    <w:p w:rsidR="0028636E" w:rsidRDefault="0028636E" w:rsidP="0028636E">
      <w:pPr>
        <w:ind w:left="720"/>
        <w:jc w:val="both"/>
        <w:rPr>
          <w:szCs w:val="20"/>
        </w:rPr>
      </w:pPr>
      <w:r>
        <w:rPr>
          <w:szCs w:val="20"/>
        </w:rPr>
        <w:t xml:space="preserve">Initially, troubleshoot (breakers and god box) and transfer controls to co-pilot if the system failure only </w:t>
      </w:r>
      <w:r w:rsidR="0023427D">
        <w:rPr>
          <w:szCs w:val="20"/>
        </w:rPr>
        <w:t>affects</w:t>
      </w:r>
      <w:r>
        <w:rPr>
          <w:szCs w:val="20"/>
        </w:rPr>
        <w:t xml:space="preserve"> your side.  </w:t>
      </w:r>
    </w:p>
    <w:p w:rsidR="0028636E" w:rsidRDefault="0028636E" w:rsidP="0028636E">
      <w:pPr>
        <w:ind w:left="720"/>
        <w:jc w:val="both"/>
        <w:rPr>
          <w:szCs w:val="20"/>
        </w:rPr>
      </w:pPr>
    </w:p>
    <w:p w:rsidR="0028636E" w:rsidRPr="00D63EDB" w:rsidRDefault="0028636E" w:rsidP="0028636E">
      <w:pPr>
        <w:ind w:left="720"/>
        <w:jc w:val="both"/>
        <w:rPr>
          <w:szCs w:val="20"/>
        </w:rPr>
      </w:pPr>
      <w:r>
        <w:rPr>
          <w:szCs w:val="20"/>
        </w:rPr>
        <w:t xml:space="preserve">Remain VMC and land if this is an option. Secure the big 5 (windshield wipers, windshield heat, AC, heater, vent blower) and brief wet compass characteristics.  Advise controller and request a no-gyro approach. Turn at standard rate turns until advised not to.  Initiate turns immediately and stop them immediately as instructed.  </w:t>
      </w:r>
    </w:p>
    <w:p w:rsidR="00DA180A" w:rsidRPr="00DA180A" w:rsidRDefault="00DA180A" w:rsidP="00AE7420">
      <w:pPr>
        <w:ind w:left="360"/>
        <w:jc w:val="both"/>
        <w:rPr>
          <w:szCs w:val="20"/>
        </w:rPr>
      </w:pPr>
    </w:p>
    <w:sectPr w:rsidR="00DA180A" w:rsidRPr="00DA180A" w:rsidSect="009B217F">
      <w:headerReference w:type="default" r:id="rId9"/>
      <w:footerReference w:type="default" r:id="rId10"/>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978" w:rsidRDefault="00BC5978">
      <w:r>
        <w:separator/>
      </w:r>
    </w:p>
    <w:p w:rsidR="00BC5978" w:rsidRDefault="00BC5978"/>
  </w:endnote>
  <w:endnote w:type="continuationSeparator" w:id="0">
    <w:p w:rsidR="00BC5978" w:rsidRDefault="00BC5978">
      <w:r>
        <w:continuationSeparator/>
      </w:r>
    </w:p>
    <w:p w:rsidR="00BC5978" w:rsidRDefault="00BC597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561398">
      <w:rPr>
        <w:sz w:val="16"/>
        <w:szCs w:val="16"/>
      </w:rPr>
      <w:t>4201</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5E5F25"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23427D">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978" w:rsidRDefault="00BC5978">
      <w:r>
        <w:separator/>
      </w:r>
    </w:p>
    <w:p w:rsidR="00BC5978" w:rsidRDefault="00BC5978"/>
  </w:footnote>
  <w:footnote w:type="continuationSeparator" w:id="0">
    <w:p w:rsidR="00BC5978" w:rsidRDefault="00BC5978">
      <w:r>
        <w:continuationSeparator/>
      </w:r>
    </w:p>
    <w:p w:rsidR="00BC5978" w:rsidRDefault="00BC597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97967">
      <w:t>1</w:t>
    </w:r>
    <w:r w:rsidR="00A97D41">
      <w:t>4</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93A48"/>
    <w:rsid w:val="00094B8B"/>
    <w:rsid w:val="000A40AC"/>
    <w:rsid w:val="000A7685"/>
    <w:rsid w:val="000B3246"/>
    <w:rsid w:val="000C2CA7"/>
    <w:rsid w:val="000C3FE3"/>
    <w:rsid w:val="000D08F6"/>
    <w:rsid w:val="000F02D3"/>
    <w:rsid w:val="000F42AA"/>
    <w:rsid w:val="00117CB8"/>
    <w:rsid w:val="001218C7"/>
    <w:rsid w:val="0012320C"/>
    <w:rsid w:val="00131264"/>
    <w:rsid w:val="00141503"/>
    <w:rsid w:val="00143683"/>
    <w:rsid w:val="001714EA"/>
    <w:rsid w:val="00184924"/>
    <w:rsid w:val="00190123"/>
    <w:rsid w:val="00196292"/>
    <w:rsid w:val="001A7881"/>
    <w:rsid w:val="001B0E03"/>
    <w:rsid w:val="001B5BAD"/>
    <w:rsid w:val="001C6ACC"/>
    <w:rsid w:val="001E29A1"/>
    <w:rsid w:val="0020361A"/>
    <w:rsid w:val="0022033E"/>
    <w:rsid w:val="0023427D"/>
    <w:rsid w:val="00261083"/>
    <w:rsid w:val="00270E47"/>
    <w:rsid w:val="00276CF4"/>
    <w:rsid w:val="002806EB"/>
    <w:rsid w:val="00280836"/>
    <w:rsid w:val="002843CC"/>
    <w:rsid w:val="0028636E"/>
    <w:rsid w:val="002C114E"/>
    <w:rsid w:val="002C2369"/>
    <w:rsid w:val="002D7B6D"/>
    <w:rsid w:val="00315090"/>
    <w:rsid w:val="00326E48"/>
    <w:rsid w:val="0034434E"/>
    <w:rsid w:val="003458C2"/>
    <w:rsid w:val="00354052"/>
    <w:rsid w:val="00381CB1"/>
    <w:rsid w:val="003A7561"/>
    <w:rsid w:val="003C6171"/>
    <w:rsid w:val="003D00B8"/>
    <w:rsid w:val="003D0B4D"/>
    <w:rsid w:val="003E261F"/>
    <w:rsid w:val="004113D6"/>
    <w:rsid w:val="00415300"/>
    <w:rsid w:val="00431E91"/>
    <w:rsid w:val="00457861"/>
    <w:rsid w:val="004672F0"/>
    <w:rsid w:val="00467FD3"/>
    <w:rsid w:val="0047307E"/>
    <w:rsid w:val="0047666E"/>
    <w:rsid w:val="004859E7"/>
    <w:rsid w:val="00485E82"/>
    <w:rsid w:val="00490CB5"/>
    <w:rsid w:val="00497D1E"/>
    <w:rsid w:val="004C53D6"/>
    <w:rsid w:val="004D4EAE"/>
    <w:rsid w:val="00516964"/>
    <w:rsid w:val="00522BCE"/>
    <w:rsid w:val="00524F8E"/>
    <w:rsid w:val="005303D7"/>
    <w:rsid w:val="00542655"/>
    <w:rsid w:val="00554410"/>
    <w:rsid w:val="00561398"/>
    <w:rsid w:val="00562961"/>
    <w:rsid w:val="00575DEF"/>
    <w:rsid w:val="00585A5D"/>
    <w:rsid w:val="005A3D30"/>
    <w:rsid w:val="005B0A38"/>
    <w:rsid w:val="005C01B6"/>
    <w:rsid w:val="005E5F25"/>
    <w:rsid w:val="005E6820"/>
    <w:rsid w:val="005E75A0"/>
    <w:rsid w:val="0062041A"/>
    <w:rsid w:val="00621D1E"/>
    <w:rsid w:val="00635D79"/>
    <w:rsid w:val="00637241"/>
    <w:rsid w:val="00647AFD"/>
    <w:rsid w:val="006515AB"/>
    <w:rsid w:val="0065663A"/>
    <w:rsid w:val="006A2EC9"/>
    <w:rsid w:val="006A6A2D"/>
    <w:rsid w:val="006D050B"/>
    <w:rsid w:val="00704B4F"/>
    <w:rsid w:val="0071056A"/>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D621B"/>
    <w:rsid w:val="0090504E"/>
    <w:rsid w:val="00922DE8"/>
    <w:rsid w:val="0094095E"/>
    <w:rsid w:val="009550C8"/>
    <w:rsid w:val="00970DF2"/>
    <w:rsid w:val="00980341"/>
    <w:rsid w:val="009A17B1"/>
    <w:rsid w:val="009B217F"/>
    <w:rsid w:val="009E63E0"/>
    <w:rsid w:val="00A16A41"/>
    <w:rsid w:val="00A50D29"/>
    <w:rsid w:val="00A618D0"/>
    <w:rsid w:val="00A6410B"/>
    <w:rsid w:val="00A77E50"/>
    <w:rsid w:val="00A97967"/>
    <w:rsid w:val="00A97D41"/>
    <w:rsid w:val="00AD729A"/>
    <w:rsid w:val="00AD7FAC"/>
    <w:rsid w:val="00AE3250"/>
    <w:rsid w:val="00AE7420"/>
    <w:rsid w:val="00AF0668"/>
    <w:rsid w:val="00B22A1E"/>
    <w:rsid w:val="00B25502"/>
    <w:rsid w:val="00B26488"/>
    <w:rsid w:val="00B36BB4"/>
    <w:rsid w:val="00B4548E"/>
    <w:rsid w:val="00B74E75"/>
    <w:rsid w:val="00B80272"/>
    <w:rsid w:val="00BA695C"/>
    <w:rsid w:val="00BC44A8"/>
    <w:rsid w:val="00BC5978"/>
    <w:rsid w:val="00C16041"/>
    <w:rsid w:val="00C3324F"/>
    <w:rsid w:val="00C369B3"/>
    <w:rsid w:val="00C36C7F"/>
    <w:rsid w:val="00C715DA"/>
    <w:rsid w:val="00CA7701"/>
    <w:rsid w:val="00CB6713"/>
    <w:rsid w:val="00CC16F6"/>
    <w:rsid w:val="00CD2AEB"/>
    <w:rsid w:val="00CD4216"/>
    <w:rsid w:val="00D01A18"/>
    <w:rsid w:val="00D17882"/>
    <w:rsid w:val="00D2333C"/>
    <w:rsid w:val="00D54EA1"/>
    <w:rsid w:val="00D60A3F"/>
    <w:rsid w:val="00D63C7C"/>
    <w:rsid w:val="00D71EF6"/>
    <w:rsid w:val="00D7291D"/>
    <w:rsid w:val="00D908D0"/>
    <w:rsid w:val="00D937D3"/>
    <w:rsid w:val="00D941AE"/>
    <w:rsid w:val="00DA180A"/>
    <w:rsid w:val="00DC570A"/>
    <w:rsid w:val="00E03540"/>
    <w:rsid w:val="00E04D81"/>
    <w:rsid w:val="00E101A7"/>
    <w:rsid w:val="00E35C9B"/>
    <w:rsid w:val="00E55368"/>
    <w:rsid w:val="00E64B13"/>
    <w:rsid w:val="00E70CB9"/>
    <w:rsid w:val="00E73D37"/>
    <w:rsid w:val="00E80D70"/>
    <w:rsid w:val="00E914DE"/>
    <w:rsid w:val="00EB4F0E"/>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BBF9-8E3A-4395-AAE0-A6AA7192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7</cp:revision>
  <dcterms:created xsi:type="dcterms:W3CDTF">2010-09-14T05:17:00Z</dcterms:created>
  <dcterms:modified xsi:type="dcterms:W3CDTF">2010-09-17T02:17:00Z</dcterms:modified>
</cp:coreProperties>
</file>